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A65" w:rsidRDefault="003D7C88" w:rsidP="00B81A65">
      <w:pPr>
        <w:spacing w:line="0" w:lineRule="atLeast"/>
        <w:jc w:val="distribute"/>
        <w:rPr>
          <w:rFonts w:eastAsia="標楷體"/>
          <w:spacing w:val="-52"/>
          <w:sz w:val="40"/>
          <w:lang w:eastAsia="zh-HK"/>
        </w:rPr>
      </w:pPr>
      <w:r w:rsidRPr="008E4D4C">
        <w:rPr>
          <w:rFonts w:eastAsia="標楷體" w:hint="eastAsia"/>
          <w:spacing w:val="-52"/>
          <w:sz w:val="40"/>
        </w:rPr>
        <w:t>監察院辦理案件對其他機關或人員所提供答復或陳述</w:t>
      </w:r>
      <w:r w:rsidR="00B81A65">
        <w:rPr>
          <w:rFonts w:eastAsia="標楷體" w:hint="eastAsia"/>
          <w:spacing w:val="-52"/>
          <w:sz w:val="40"/>
        </w:rPr>
        <w:t xml:space="preserve">             </w:t>
      </w:r>
      <w:r w:rsidRPr="008E4D4C">
        <w:rPr>
          <w:rFonts w:eastAsia="標楷體" w:hint="eastAsia"/>
          <w:spacing w:val="-52"/>
          <w:sz w:val="40"/>
        </w:rPr>
        <w:t>之國家機密保密作業辦法</w:t>
      </w:r>
      <w:r w:rsidRPr="008F472E">
        <w:rPr>
          <w:rFonts w:eastAsia="標楷體" w:hint="eastAsia"/>
          <w:spacing w:val="-52"/>
          <w:sz w:val="40"/>
        </w:rPr>
        <w:t>第</w:t>
      </w:r>
      <w:r>
        <w:rPr>
          <w:rFonts w:eastAsia="標楷體" w:hint="eastAsia"/>
          <w:spacing w:val="-52"/>
          <w:sz w:val="40"/>
          <w:lang w:eastAsia="zh-HK"/>
        </w:rPr>
        <w:t>八</w:t>
      </w:r>
      <w:r w:rsidRPr="008F472E">
        <w:rPr>
          <w:rFonts w:eastAsia="標楷體" w:hint="eastAsia"/>
          <w:spacing w:val="-52"/>
          <w:sz w:val="40"/>
        </w:rPr>
        <w:t>條</w:t>
      </w:r>
      <w:r>
        <w:rPr>
          <w:rFonts w:eastAsia="標楷體" w:hint="eastAsia"/>
          <w:spacing w:val="-52"/>
          <w:sz w:val="40"/>
        </w:rPr>
        <w:t>修正草案</w:t>
      </w:r>
      <w:r>
        <w:rPr>
          <w:rFonts w:eastAsia="標楷體" w:hint="eastAsia"/>
          <w:spacing w:val="-52"/>
          <w:sz w:val="40"/>
          <w:lang w:eastAsia="zh-HK"/>
        </w:rPr>
        <w:t>總說明</w:t>
      </w:r>
    </w:p>
    <w:p w:rsidR="00B81A65" w:rsidRDefault="00B81A65" w:rsidP="00B81A65">
      <w:pPr>
        <w:spacing w:line="0" w:lineRule="atLeast"/>
        <w:rPr>
          <w:rFonts w:eastAsia="標楷體"/>
          <w:spacing w:val="-52"/>
          <w:sz w:val="40"/>
          <w:lang w:eastAsia="zh-HK"/>
        </w:rPr>
      </w:pPr>
    </w:p>
    <w:p w:rsidR="003D7C88" w:rsidRDefault="003D7C88" w:rsidP="00B81A65">
      <w:pPr>
        <w:spacing w:line="0" w:lineRule="atLeast"/>
        <w:ind w:firstLineChars="200" w:firstLine="560"/>
        <w:rPr>
          <w:rFonts w:ascii="標楷體" w:eastAsia="標楷體" w:hAnsi="標楷體"/>
          <w:sz w:val="28"/>
          <w:lang w:eastAsia="zh-HK"/>
        </w:rPr>
      </w:pPr>
      <w:r>
        <w:rPr>
          <w:rFonts w:ascii="標楷體" w:eastAsia="標楷體" w:hAnsi="標楷體" w:hint="eastAsia"/>
          <w:sz w:val="28"/>
          <w:lang w:eastAsia="zh-HK"/>
        </w:rPr>
        <w:t>配合</w:t>
      </w:r>
      <w:r w:rsidRPr="00722925">
        <w:rPr>
          <w:rFonts w:ascii="標楷體" w:eastAsia="標楷體" w:hAnsi="標楷體" w:hint="eastAsia"/>
          <w:sz w:val="28"/>
          <w:lang w:eastAsia="zh-HK"/>
        </w:rPr>
        <w:t>監察院國家人權委員會</w:t>
      </w:r>
      <w:r>
        <w:rPr>
          <w:rFonts w:ascii="標楷體" w:eastAsia="標楷體" w:hAnsi="標楷體" w:hint="eastAsia"/>
          <w:sz w:val="28"/>
          <w:lang w:eastAsia="zh-HK"/>
        </w:rPr>
        <w:t>組織法</w:t>
      </w:r>
      <w:r w:rsidR="00306DFF">
        <w:rPr>
          <w:rFonts w:ascii="標楷體" w:eastAsia="標楷體" w:hAnsi="標楷體" w:hint="eastAsia"/>
          <w:sz w:val="28"/>
          <w:lang w:eastAsia="zh-HK"/>
        </w:rPr>
        <w:t>於一百零九年一月八日制定</w:t>
      </w:r>
      <w:r>
        <w:rPr>
          <w:rFonts w:ascii="標楷體" w:eastAsia="標楷體" w:hAnsi="標楷體" w:hint="eastAsia"/>
          <w:sz w:val="28"/>
          <w:lang w:eastAsia="zh-HK"/>
        </w:rPr>
        <w:t>公布，使監察院成為國家人權事務最高機關。</w:t>
      </w:r>
    </w:p>
    <w:p w:rsidR="00613D5D" w:rsidRDefault="00613D5D" w:rsidP="003D7C88">
      <w:pPr>
        <w:spacing w:line="460" w:lineRule="exact"/>
        <w:ind w:firstLineChars="194" w:firstLine="543"/>
        <w:rPr>
          <w:rFonts w:ascii="標楷體" w:eastAsia="標楷體" w:hAnsi="標楷體"/>
          <w:sz w:val="28"/>
        </w:rPr>
      </w:pPr>
      <w:r w:rsidRPr="00613D5D">
        <w:rPr>
          <w:rFonts w:ascii="標楷體" w:eastAsia="標楷體" w:hAnsi="標楷體" w:hint="eastAsia"/>
          <w:sz w:val="28"/>
          <w:lang w:eastAsia="zh-HK"/>
        </w:rPr>
        <w:t>依監察院國家人權委員會組織法第二條第一款規定，該委員會得依職權或陳情，對涉及酷刑、侵害人權或構成各種形式歧視之事件進行調查，該會委員會議審查調查案件資料</w:t>
      </w:r>
      <w:bookmarkStart w:id="0" w:name="_GoBack"/>
      <w:bookmarkEnd w:id="0"/>
      <w:r w:rsidRPr="00613D5D">
        <w:rPr>
          <w:rFonts w:ascii="標楷體" w:eastAsia="標楷體" w:hAnsi="標楷體" w:hint="eastAsia"/>
          <w:sz w:val="28"/>
          <w:lang w:eastAsia="zh-HK"/>
        </w:rPr>
        <w:t>亦可能涉及其他機關或人員所提供、答復或陳述之國家機密，爰將該會委員會議之文件及作業，納入監察院辦理案件對其他機關或人員所提供答復或陳述之國家機密保密作業辦法，並修正第八條規定</w:t>
      </w:r>
      <w:r>
        <w:rPr>
          <w:rFonts w:ascii="標楷體" w:eastAsia="標楷體" w:hAnsi="標楷體" w:hint="eastAsia"/>
          <w:sz w:val="28"/>
        </w:rPr>
        <w:t>。</w:t>
      </w:r>
    </w:p>
    <w:p w:rsidR="003D7C88" w:rsidRPr="00FD2C81" w:rsidRDefault="00613D5D" w:rsidP="00613D5D">
      <w:pPr>
        <w:spacing w:line="460" w:lineRule="exact"/>
        <w:ind w:leftChars="-59" w:left="477" w:hangingChars="221" w:hanging="619"/>
        <w:rPr>
          <w:rFonts w:ascii="標楷體" w:eastAsia="標楷體" w:hAnsi="標楷體"/>
          <w:sz w:val="28"/>
        </w:rPr>
      </w:pPr>
      <w:r>
        <w:rPr>
          <w:rFonts w:ascii="標楷體" w:eastAsia="標楷體" w:hAnsi="標楷體" w:hint="eastAsia"/>
          <w:sz w:val="28"/>
        </w:rPr>
        <w:t xml:space="preserve">       </w:t>
      </w:r>
    </w:p>
    <w:p w:rsidR="004D6FBB" w:rsidRDefault="003D7C88" w:rsidP="00B81A65">
      <w:pPr>
        <w:spacing w:line="0" w:lineRule="atLeast"/>
        <w:jc w:val="distribute"/>
        <w:rPr>
          <w:rFonts w:eastAsia="標楷體"/>
          <w:spacing w:val="-52"/>
          <w:sz w:val="40"/>
        </w:rPr>
      </w:pPr>
      <w:r>
        <w:rPr>
          <w:rFonts w:ascii="標楷體" w:eastAsia="標楷體" w:hAnsi="標楷體"/>
          <w:sz w:val="40"/>
        </w:rPr>
        <w:br w:type="page"/>
      </w:r>
      <w:r w:rsidRPr="008E4D4C">
        <w:rPr>
          <w:rFonts w:eastAsia="標楷體" w:hint="eastAsia"/>
          <w:spacing w:val="-52"/>
          <w:sz w:val="40"/>
        </w:rPr>
        <w:lastRenderedPageBreak/>
        <w:t>監察院辦理案件對其他機關或人員所提供答復或陳述</w:t>
      </w:r>
      <w:r w:rsidR="00B81A65">
        <w:rPr>
          <w:rFonts w:eastAsia="標楷體" w:hint="eastAsia"/>
          <w:spacing w:val="-52"/>
          <w:sz w:val="40"/>
        </w:rPr>
        <w:t xml:space="preserve"> </w:t>
      </w:r>
      <w:r w:rsidR="00B81A65">
        <w:rPr>
          <w:rFonts w:eastAsia="標楷體"/>
          <w:spacing w:val="-52"/>
          <w:sz w:val="40"/>
        </w:rPr>
        <w:t xml:space="preserve">            </w:t>
      </w:r>
      <w:r w:rsidRPr="008E4D4C">
        <w:rPr>
          <w:rFonts w:eastAsia="標楷體" w:hint="eastAsia"/>
          <w:spacing w:val="-52"/>
          <w:sz w:val="40"/>
        </w:rPr>
        <w:t>之國家機密保密作業辦法</w:t>
      </w:r>
      <w:r w:rsidRPr="008F472E">
        <w:rPr>
          <w:rFonts w:eastAsia="標楷體" w:hint="eastAsia"/>
          <w:spacing w:val="-52"/>
          <w:sz w:val="40"/>
        </w:rPr>
        <w:t>第</w:t>
      </w:r>
      <w:r>
        <w:rPr>
          <w:rFonts w:eastAsia="標楷體" w:hint="eastAsia"/>
          <w:spacing w:val="-52"/>
          <w:sz w:val="40"/>
          <w:lang w:eastAsia="zh-HK"/>
        </w:rPr>
        <w:t>八</w:t>
      </w:r>
      <w:r w:rsidRPr="008F472E">
        <w:rPr>
          <w:rFonts w:eastAsia="標楷體" w:hint="eastAsia"/>
          <w:spacing w:val="-52"/>
          <w:sz w:val="40"/>
        </w:rPr>
        <w:t>條</w:t>
      </w:r>
      <w:r>
        <w:rPr>
          <w:rFonts w:eastAsia="標楷體" w:hint="eastAsia"/>
          <w:spacing w:val="-52"/>
          <w:sz w:val="40"/>
        </w:rPr>
        <w:t>修正草案條文對照表</w:t>
      </w:r>
    </w:p>
    <w:p w:rsidR="00B81A65" w:rsidRPr="008E4D4C" w:rsidRDefault="00B81A65" w:rsidP="00B81A65">
      <w:pPr>
        <w:spacing w:line="0" w:lineRule="atLeast"/>
        <w:jc w:val="distribute"/>
        <w:rPr>
          <w:rFonts w:eastAsia="標楷體"/>
          <w:spacing w:val="-52"/>
          <w:sz w:val="40"/>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6"/>
        <w:gridCol w:w="2786"/>
        <w:gridCol w:w="2787"/>
      </w:tblGrid>
      <w:tr w:rsidR="00AF5F60" w:rsidTr="00AF5F60">
        <w:trPr>
          <w:trHeight w:val="540"/>
        </w:trPr>
        <w:tc>
          <w:tcPr>
            <w:tcW w:w="2786" w:type="dxa"/>
            <w:vAlign w:val="center"/>
          </w:tcPr>
          <w:p w:rsidR="00AF5F60" w:rsidRDefault="00AF5F60" w:rsidP="00DB14A7">
            <w:pPr>
              <w:spacing w:line="0" w:lineRule="atLeast"/>
              <w:jc w:val="center"/>
              <w:rPr>
                <w:rFonts w:ascii="標楷體" w:eastAsia="標楷體" w:hAnsi="標楷體"/>
              </w:rPr>
            </w:pPr>
            <w:r>
              <w:rPr>
                <w:rFonts w:ascii="標楷體" w:eastAsia="標楷體" w:hAnsi="標楷體" w:hint="eastAsia"/>
              </w:rPr>
              <w:t>修正條文</w:t>
            </w:r>
          </w:p>
        </w:tc>
        <w:tc>
          <w:tcPr>
            <w:tcW w:w="2786" w:type="dxa"/>
            <w:vAlign w:val="center"/>
          </w:tcPr>
          <w:p w:rsidR="00AF5F60" w:rsidRDefault="00AF5F60" w:rsidP="00DB14A7">
            <w:pPr>
              <w:spacing w:line="0" w:lineRule="atLeast"/>
              <w:jc w:val="center"/>
              <w:rPr>
                <w:rFonts w:ascii="標楷體" w:eastAsia="標楷體" w:hAnsi="標楷體"/>
              </w:rPr>
            </w:pPr>
            <w:r>
              <w:rPr>
                <w:rFonts w:ascii="標楷體" w:eastAsia="標楷體" w:hAnsi="標楷體" w:hint="eastAsia"/>
              </w:rPr>
              <w:t>現行條文</w:t>
            </w:r>
          </w:p>
        </w:tc>
        <w:tc>
          <w:tcPr>
            <w:tcW w:w="2787" w:type="dxa"/>
            <w:vAlign w:val="center"/>
          </w:tcPr>
          <w:p w:rsidR="00AF5F60" w:rsidRDefault="00AF5F60" w:rsidP="00DB14A7">
            <w:pPr>
              <w:spacing w:line="0" w:lineRule="atLeast"/>
              <w:jc w:val="center"/>
              <w:rPr>
                <w:rFonts w:ascii="標楷體" w:eastAsia="標楷體" w:hAnsi="標楷體"/>
              </w:rPr>
            </w:pPr>
            <w:r>
              <w:rPr>
                <w:rFonts w:ascii="標楷體" w:eastAsia="標楷體" w:hAnsi="標楷體" w:hint="eastAsia"/>
              </w:rPr>
              <w:t>說明</w:t>
            </w:r>
          </w:p>
        </w:tc>
      </w:tr>
      <w:tr w:rsidR="00AF5F60" w:rsidRPr="00395CFB" w:rsidTr="00AF5F60">
        <w:trPr>
          <w:trHeight w:val="540"/>
        </w:trPr>
        <w:tc>
          <w:tcPr>
            <w:tcW w:w="2786" w:type="dxa"/>
          </w:tcPr>
          <w:p w:rsidR="00AF5F60" w:rsidRPr="00395CFB" w:rsidRDefault="006F227B" w:rsidP="00EC5EBB">
            <w:pPr>
              <w:ind w:leftChars="14" w:left="351" w:hangingChars="132" w:hanging="317"/>
              <w:jc w:val="both"/>
              <w:rPr>
                <w:rFonts w:ascii="標楷體" w:eastAsia="標楷體" w:hAnsi="標楷體"/>
              </w:rPr>
            </w:pPr>
            <w:r>
              <w:rPr>
                <w:rFonts w:ascii="標楷體" w:eastAsia="標楷體" w:hAnsi="標楷體" w:hint="eastAsia"/>
                <w:lang w:eastAsia="zh-HK"/>
              </w:rPr>
              <w:t xml:space="preserve">第八條　</w:t>
            </w:r>
            <w:r w:rsidR="00AF5F60" w:rsidRPr="00395CFB">
              <w:rPr>
                <w:rFonts w:ascii="標楷體" w:eastAsia="標楷體" w:hAnsi="標楷體" w:hint="eastAsia"/>
              </w:rPr>
              <w:t>本院各委員會</w:t>
            </w:r>
            <w:r w:rsidR="00AF5F60" w:rsidRPr="00CD2F09">
              <w:rPr>
                <w:rFonts w:ascii="標楷體" w:eastAsia="標楷體" w:hAnsi="標楷體" w:hint="eastAsia"/>
                <w:u w:val="single"/>
              </w:rPr>
              <w:t>、</w:t>
            </w:r>
            <w:r w:rsidR="00AF5F60">
              <w:rPr>
                <w:rFonts w:ascii="標楷體" w:eastAsia="標楷體" w:hAnsi="標楷體" w:hint="eastAsia"/>
                <w:u w:val="single"/>
                <w:lang w:eastAsia="zh-HK"/>
              </w:rPr>
              <w:t>國家人權委員會</w:t>
            </w:r>
            <w:r w:rsidR="00AF5F60" w:rsidRPr="00395CFB">
              <w:rPr>
                <w:rFonts w:ascii="標楷體" w:eastAsia="標楷體" w:hAnsi="標楷體" w:hint="eastAsia"/>
              </w:rPr>
              <w:t>或糾彈案件審查會審查涉及國家機密之調查報告、糾正案文、彈劾案文、糾舉案文或其他相關文件時，應以秘密會議或不公開方式行之。</w:t>
            </w:r>
          </w:p>
          <w:p w:rsidR="00AF5F60" w:rsidRPr="00395CFB" w:rsidRDefault="00AF5F60" w:rsidP="00EC5EBB">
            <w:pPr>
              <w:ind w:leftChars="146" w:left="350" w:firstLineChars="132" w:firstLine="317"/>
              <w:jc w:val="both"/>
              <w:rPr>
                <w:rFonts w:ascii="標楷體" w:eastAsia="標楷體" w:hAnsi="標楷體"/>
              </w:rPr>
            </w:pPr>
            <w:r w:rsidRPr="00395CFB">
              <w:rPr>
                <w:rFonts w:ascii="標楷體" w:eastAsia="標楷體" w:hAnsi="標楷體" w:hint="eastAsia"/>
              </w:rPr>
              <w:t>前項會議，如調查報告、糾正案文、彈劾案文、糾舉案文或其他相關文件，未援引國家機密者，審查會時，仍應備齊相關資料攜至會場備參。</w:t>
            </w:r>
          </w:p>
          <w:p w:rsidR="00AF5F60" w:rsidRPr="00395CFB" w:rsidRDefault="00AF5F60" w:rsidP="00EC5EBB">
            <w:pPr>
              <w:ind w:leftChars="146" w:left="350" w:firstLineChars="132" w:firstLine="317"/>
              <w:jc w:val="both"/>
              <w:rPr>
                <w:rFonts w:ascii="標楷體" w:eastAsia="標楷體" w:hAnsi="標楷體"/>
              </w:rPr>
            </w:pPr>
            <w:r w:rsidRPr="00395CFB">
              <w:rPr>
                <w:rFonts w:ascii="標楷體" w:eastAsia="標楷體" w:hAnsi="標楷體" w:hint="eastAsia"/>
              </w:rPr>
              <w:t>第一項文件，如有援引國家機密者，其會議資料，應標示機密等級、編號分發、逐頁註記與分發編號相同之號碼、確實登錄其使用人員，並於會議前一天下午密送應出席委員。但調查（提案）委員認有必要時，得簽奉院長核定，於會議當日在會場分送出席委員。另於會議資料首頁應提示保密義務及不得攜離會場，會後須當場清點收回。</w:t>
            </w:r>
          </w:p>
        </w:tc>
        <w:tc>
          <w:tcPr>
            <w:tcW w:w="2786" w:type="dxa"/>
          </w:tcPr>
          <w:p w:rsidR="00AF5F60" w:rsidRPr="00395CFB" w:rsidRDefault="00AF5F60" w:rsidP="00EC5EBB">
            <w:pPr>
              <w:ind w:leftChars="14" w:left="351" w:hangingChars="132" w:hanging="317"/>
              <w:jc w:val="both"/>
              <w:rPr>
                <w:rFonts w:ascii="標楷體" w:eastAsia="標楷體" w:hAnsi="標楷體"/>
              </w:rPr>
            </w:pPr>
            <w:r w:rsidRPr="00395CFB">
              <w:rPr>
                <w:rFonts w:ascii="標楷體" w:eastAsia="標楷體" w:hAnsi="標楷體" w:hint="eastAsia"/>
                <w:lang w:eastAsia="zh-HK"/>
              </w:rPr>
              <w:t xml:space="preserve">第八條　</w:t>
            </w:r>
            <w:r w:rsidRPr="00395CFB">
              <w:rPr>
                <w:rFonts w:ascii="標楷體" w:eastAsia="標楷體" w:hAnsi="標楷體" w:hint="eastAsia"/>
              </w:rPr>
              <w:t>本院各委員會或糾彈案件審查會審查涉及國家機密之調查報告、糾正案文、彈劾案文、糾舉案文或其他相關文件時，應以秘密會議或不公開方式行之。</w:t>
            </w:r>
          </w:p>
          <w:p w:rsidR="00AF5F60" w:rsidRPr="00395CFB" w:rsidRDefault="00AF5F60" w:rsidP="00EC5EBB">
            <w:pPr>
              <w:ind w:leftChars="146" w:left="350" w:firstLineChars="132" w:firstLine="317"/>
              <w:jc w:val="both"/>
              <w:rPr>
                <w:rFonts w:ascii="標楷體" w:eastAsia="標楷體" w:hAnsi="標楷體"/>
              </w:rPr>
            </w:pPr>
            <w:r w:rsidRPr="00395CFB">
              <w:rPr>
                <w:rFonts w:ascii="標楷體" w:eastAsia="標楷體" w:hAnsi="標楷體" w:hint="eastAsia"/>
              </w:rPr>
              <w:t>前項會議，如調查報告、糾正案文、彈劾案文、糾舉案文或其他相關文件，未援引國家機密者，審查會時，仍應備齊相關資料攜至會場備參。</w:t>
            </w:r>
          </w:p>
          <w:p w:rsidR="00AF5F60" w:rsidRPr="00395CFB" w:rsidRDefault="00AF5F60" w:rsidP="00EC5EBB">
            <w:pPr>
              <w:ind w:leftChars="146" w:left="350" w:firstLineChars="132" w:firstLine="317"/>
              <w:jc w:val="both"/>
              <w:rPr>
                <w:rFonts w:ascii="標楷體" w:eastAsia="標楷體" w:hAnsi="標楷體"/>
              </w:rPr>
            </w:pPr>
            <w:r w:rsidRPr="00395CFB">
              <w:rPr>
                <w:rFonts w:ascii="標楷體" w:eastAsia="標楷體" w:hAnsi="標楷體" w:hint="eastAsia"/>
              </w:rPr>
              <w:t>第一項文件，如有援引國家機密者，其會議資料，應標示機密等級、編號分發、逐頁註記與分發編號相同之號碼、確實登錄其使用人員，並於會議前一天下午密送應出席委員。但調查（提案）委員認有必要時，得簽奉院長核定，於會議當日在會場分送出席委員。另於會議資料首頁應提示保密義務及不得攜離會場，會後須當場清點收回。</w:t>
            </w:r>
          </w:p>
        </w:tc>
        <w:tc>
          <w:tcPr>
            <w:tcW w:w="2787" w:type="dxa"/>
          </w:tcPr>
          <w:p w:rsidR="00AF5F60" w:rsidRPr="00395CFB" w:rsidRDefault="00AF5F60" w:rsidP="00EC5EBB">
            <w:pPr>
              <w:jc w:val="both"/>
              <w:rPr>
                <w:rFonts w:ascii="標楷體" w:eastAsia="標楷體" w:hAnsi="標楷體"/>
              </w:rPr>
            </w:pPr>
            <w:r w:rsidRPr="00395CFB">
              <w:rPr>
                <w:rFonts w:ascii="標楷體" w:eastAsia="標楷體" w:hAnsi="標楷體" w:hint="eastAsia"/>
                <w:lang w:eastAsia="zh-HK"/>
              </w:rPr>
              <w:t>配合國家人權委員會之設置，</w:t>
            </w:r>
            <w:r>
              <w:rPr>
                <w:rFonts w:ascii="標楷體" w:eastAsia="標楷體" w:hAnsi="標楷體" w:hint="eastAsia"/>
                <w:lang w:eastAsia="zh-HK"/>
              </w:rPr>
              <w:t>將</w:t>
            </w:r>
            <w:r w:rsidRPr="00395CFB">
              <w:rPr>
                <w:rFonts w:ascii="標楷體" w:eastAsia="標楷體" w:hAnsi="標楷體" w:hint="eastAsia"/>
                <w:lang w:eastAsia="zh-HK"/>
              </w:rPr>
              <w:t>該</w:t>
            </w:r>
            <w:r>
              <w:rPr>
                <w:rFonts w:ascii="標楷體" w:eastAsia="標楷體" w:hAnsi="標楷體" w:hint="eastAsia"/>
                <w:lang w:eastAsia="zh-HK"/>
              </w:rPr>
              <w:t>委員會會議納入本條規範</w:t>
            </w:r>
            <w:r w:rsidRPr="00395CFB">
              <w:rPr>
                <w:rFonts w:ascii="標楷體" w:eastAsia="標楷體" w:hAnsi="標楷體" w:hint="eastAsia"/>
                <w:lang w:eastAsia="zh-HK"/>
              </w:rPr>
              <w:t>。</w:t>
            </w:r>
          </w:p>
          <w:p w:rsidR="00AF5F60" w:rsidRPr="00395CFB" w:rsidRDefault="00AF5F60" w:rsidP="00AF5F60">
            <w:pPr>
              <w:jc w:val="both"/>
              <w:rPr>
                <w:rFonts w:ascii="標楷體" w:eastAsia="標楷體" w:hAnsi="標楷體"/>
              </w:rPr>
            </w:pPr>
          </w:p>
        </w:tc>
      </w:tr>
    </w:tbl>
    <w:p w:rsidR="003E32B4" w:rsidRPr="00485713" w:rsidRDefault="003E32B4" w:rsidP="00485713">
      <w:pPr>
        <w:jc w:val="both"/>
        <w:rPr>
          <w:rFonts w:ascii="標楷體" w:eastAsia="標楷體" w:hAnsi="標楷體"/>
          <w:sz w:val="28"/>
          <w:szCs w:val="28"/>
        </w:rPr>
      </w:pPr>
    </w:p>
    <w:sectPr w:rsidR="003E32B4" w:rsidRPr="0048571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B4" w:rsidRDefault="004E13B4" w:rsidP="004D23E3">
      <w:r>
        <w:separator/>
      </w:r>
    </w:p>
  </w:endnote>
  <w:endnote w:type="continuationSeparator" w:id="0">
    <w:p w:rsidR="004E13B4" w:rsidRDefault="004E13B4" w:rsidP="004D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華康楷書體W3">
    <w:altName w:val="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3E3" w:rsidRDefault="004D23E3" w:rsidP="004D23E3">
    <w:pPr>
      <w:pStyle w:val="a6"/>
      <w:jc w:val="center"/>
    </w:pPr>
    <w:r>
      <w:rPr>
        <w:rFonts w:hint="eastAsia"/>
      </w:rPr>
      <w:t>機密保密作業</w:t>
    </w:r>
    <w:r>
      <w:rPr>
        <w:rFonts w:hint="eastAsia"/>
      </w:rPr>
      <w:t>-</w:t>
    </w:r>
    <w:sdt>
      <w:sdtPr>
        <w:id w:val="-1469744306"/>
        <w:docPartObj>
          <w:docPartGallery w:val="Page Numbers (Bottom of Page)"/>
          <w:docPartUnique/>
        </w:docPartObj>
      </w:sdtPr>
      <w:sdtEndPr/>
      <w:sdtContent>
        <w:r>
          <w:fldChar w:fldCharType="begin"/>
        </w:r>
        <w:r>
          <w:instrText>PAGE   \* MERGEFORMAT</w:instrText>
        </w:r>
        <w:r>
          <w:fldChar w:fldCharType="separate"/>
        </w:r>
        <w:r w:rsidR="00D006FE" w:rsidRPr="00D006FE">
          <w:rPr>
            <w:noProof/>
            <w:lang w:val="zh-TW"/>
          </w:rPr>
          <w:t>2</w:t>
        </w:r>
        <w:r>
          <w:fldChar w:fldCharType="end"/>
        </w:r>
      </w:sdtContent>
    </w:sdt>
  </w:p>
  <w:p w:rsidR="004D23E3" w:rsidRDefault="004D23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B4" w:rsidRDefault="004E13B4" w:rsidP="004D23E3">
      <w:r>
        <w:separator/>
      </w:r>
    </w:p>
  </w:footnote>
  <w:footnote w:type="continuationSeparator" w:id="0">
    <w:p w:rsidR="004E13B4" w:rsidRDefault="004E13B4" w:rsidP="004D2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315C"/>
    <w:multiLevelType w:val="hybridMultilevel"/>
    <w:tmpl w:val="7086308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6417BCE"/>
    <w:multiLevelType w:val="hybridMultilevel"/>
    <w:tmpl w:val="9C0607CE"/>
    <w:lvl w:ilvl="0" w:tplc="12BAE6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88"/>
    <w:rsid w:val="00080B2B"/>
    <w:rsid w:val="001E4F85"/>
    <w:rsid w:val="00217A5A"/>
    <w:rsid w:val="00237509"/>
    <w:rsid w:val="00306DFF"/>
    <w:rsid w:val="003D7C88"/>
    <w:rsid w:val="003E32B4"/>
    <w:rsid w:val="00485713"/>
    <w:rsid w:val="00485B60"/>
    <w:rsid w:val="004D23E3"/>
    <w:rsid w:val="004D6FBB"/>
    <w:rsid w:val="004E13B4"/>
    <w:rsid w:val="005A3E77"/>
    <w:rsid w:val="005C0A65"/>
    <w:rsid w:val="005E3D56"/>
    <w:rsid w:val="00613D5D"/>
    <w:rsid w:val="006B6703"/>
    <w:rsid w:val="006F227B"/>
    <w:rsid w:val="00742851"/>
    <w:rsid w:val="00795DC1"/>
    <w:rsid w:val="00934ACC"/>
    <w:rsid w:val="009B610C"/>
    <w:rsid w:val="00A251A8"/>
    <w:rsid w:val="00AF5F60"/>
    <w:rsid w:val="00B26EA0"/>
    <w:rsid w:val="00B45F00"/>
    <w:rsid w:val="00B81A65"/>
    <w:rsid w:val="00C26C2F"/>
    <w:rsid w:val="00D006FE"/>
    <w:rsid w:val="00D121AF"/>
    <w:rsid w:val="00DB14A7"/>
    <w:rsid w:val="00E341F3"/>
    <w:rsid w:val="00E906DA"/>
    <w:rsid w:val="00EA4616"/>
    <w:rsid w:val="00EC5E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306610-ED09-4C49-8E30-44484BEE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C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B2B"/>
    <w:pPr>
      <w:ind w:leftChars="200" w:left="480"/>
    </w:pPr>
  </w:style>
  <w:style w:type="paragraph" w:styleId="a4">
    <w:name w:val="header"/>
    <w:basedOn w:val="a"/>
    <w:link w:val="a5"/>
    <w:uiPriority w:val="99"/>
    <w:unhideWhenUsed/>
    <w:rsid w:val="004D23E3"/>
    <w:pPr>
      <w:tabs>
        <w:tab w:val="center" w:pos="4153"/>
        <w:tab w:val="right" w:pos="8306"/>
      </w:tabs>
      <w:snapToGrid w:val="0"/>
    </w:pPr>
    <w:rPr>
      <w:sz w:val="20"/>
      <w:szCs w:val="20"/>
    </w:rPr>
  </w:style>
  <w:style w:type="character" w:customStyle="1" w:styleId="a5">
    <w:name w:val="頁首 字元"/>
    <w:basedOn w:val="a0"/>
    <w:link w:val="a4"/>
    <w:uiPriority w:val="99"/>
    <w:rsid w:val="004D23E3"/>
    <w:rPr>
      <w:rFonts w:ascii="Times New Roman" w:eastAsia="新細明體" w:hAnsi="Times New Roman" w:cs="Times New Roman"/>
      <w:sz w:val="20"/>
      <w:szCs w:val="20"/>
    </w:rPr>
  </w:style>
  <w:style w:type="paragraph" w:styleId="a6">
    <w:name w:val="footer"/>
    <w:basedOn w:val="a"/>
    <w:link w:val="a7"/>
    <w:uiPriority w:val="99"/>
    <w:unhideWhenUsed/>
    <w:rsid w:val="004D23E3"/>
    <w:pPr>
      <w:tabs>
        <w:tab w:val="center" w:pos="4153"/>
        <w:tab w:val="right" w:pos="8306"/>
      </w:tabs>
      <w:snapToGrid w:val="0"/>
    </w:pPr>
    <w:rPr>
      <w:sz w:val="20"/>
      <w:szCs w:val="20"/>
    </w:rPr>
  </w:style>
  <w:style w:type="character" w:customStyle="1" w:styleId="a7">
    <w:name w:val="頁尾 字元"/>
    <w:basedOn w:val="a0"/>
    <w:link w:val="a6"/>
    <w:uiPriority w:val="99"/>
    <w:rsid w:val="004D23E3"/>
    <w:rPr>
      <w:rFonts w:ascii="Times New Roman" w:eastAsia="新細明體" w:hAnsi="Times New Roman" w:cs="Times New Roman"/>
      <w:sz w:val="20"/>
      <w:szCs w:val="20"/>
    </w:rPr>
  </w:style>
  <w:style w:type="paragraph" w:styleId="a8">
    <w:name w:val="Plain Text"/>
    <w:basedOn w:val="a"/>
    <w:link w:val="a9"/>
    <w:semiHidden/>
    <w:rsid w:val="004D6FBB"/>
    <w:pPr>
      <w:kinsoku w:val="0"/>
      <w:ind w:left="1072" w:right="-57" w:hanging="1072"/>
      <w:jc w:val="both"/>
    </w:pPr>
    <w:rPr>
      <w:rFonts w:ascii="Calisto MT" w:eastAsia="華康楷書體W3" w:hAnsi="Calisto MT"/>
      <w:b/>
      <w:sz w:val="21"/>
      <w:szCs w:val="20"/>
    </w:rPr>
  </w:style>
  <w:style w:type="character" w:customStyle="1" w:styleId="a9">
    <w:name w:val="純文字 字元"/>
    <w:basedOn w:val="a0"/>
    <w:link w:val="a8"/>
    <w:semiHidden/>
    <w:rsid w:val="004D6FBB"/>
    <w:rPr>
      <w:rFonts w:ascii="Calisto MT" w:eastAsia="華康楷書體W3" w:hAnsi="Calisto MT" w:cs="Times New Roman"/>
      <w:b/>
      <w:sz w:val="21"/>
      <w:szCs w:val="20"/>
    </w:rPr>
  </w:style>
  <w:style w:type="paragraph" w:customStyle="1" w:styleId="2">
    <w:name w:val="內文 2"/>
    <w:basedOn w:val="a"/>
    <w:rsid w:val="004D6FBB"/>
    <w:pPr>
      <w:kinsoku w:val="0"/>
      <w:ind w:left="1503" w:right="-57" w:hanging="431"/>
      <w:jc w:val="both"/>
    </w:pPr>
    <w:rPr>
      <w:rFonts w:ascii="Calisto MT" w:eastAsia="華康楷書體W3" w:hAnsi="Calisto MT"/>
      <w:b/>
      <w:sz w:val="21"/>
      <w:szCs w:val="20"/>
    </w:rPr>
  </w:style>
  <w:style w:type="paragraph" w:styleId="aa">
    <w:name w:val="Balloon Text"/>
    <w:basedOn w:val="a"/>
    <w:link w:val="ab"/>
    <w:uiPriority w:val="99"/>
    <w:semiHidden/>
    <w:unhideWhenUsed/>
    <w:rsid w:val="00B81A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81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4F373-8451-4783-B106-5BB0DDB1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羅硯文</dc:creator>
  <cp:keywords/>
  <dc:description/>
  <cp:lastModifiedBy>陳昱彣</cp:lastModifiedBy>
  <cp:revision>2</cp:revision>
  <cp:lastPrinted>2020-04-28T08:03:00Z</cp:lastPrinted>
  <dcterms:created xsi:type="dcterms:W3CDTF">2020-05-01T02:38:00Z</dcterms:created>
  <dcterms:modified xsi:type="dcterms:W3CDTF">2020-05-01T02:38:00Z</dcterms:modified>
</cp:coreProperties>
</file>